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left="-424" w:leftChars="-202" w:right="-340" w:rightChars="-162"/>
        <w:jc w:val="center"/>
        <w:rPr>
          <w:rFonts w:ascii="Times New Roman" w:hAnsi="Times New Roman" w:eastAsia="黑体"/>
          <w:b/>
          <w:sz w:val="36"/>
          <w:szCs w:val="36"/>
        </w:rPr>
      </w:pPr>
      <w:r>
        <w:rPr>
          <w:rFonts w:ascii="Times New Roman" w:hAnsi="Times New Roman" w:eastAsia="黑体"/>
          <w:b/>
          <w:sz w:val="36"/>
          <w:szCs w:val="36"/>
        </w:rPr>
        <w:t>Seminar on Food Safety Inspection Technology and Management for the Belt and Road Countries</w:t>
      </w:r>
    </w:p>
    <w:p>
      <w:pPr>
        <w:spacing w:line="500" w:lineRule="exact"/>
        <w:ind w:left="-424" w:leftChars="-202" w:right="-340" w:rightChars="-162"/>
        <w:jc w:val="center"/>
        <w:rPr>
          <w:rFonts w:ascii="Times New Roman" w:hAnsi="Times New Roman"/>
          <w:b/>
          <w:bCs/>
          <w:sz w:val="32"/>
          <w:szCs w:val="32"/>
        </w:rPr>
      </w:pPr>
      <w:r>
        <w:rPr>
          <w:rFonts w:ascii="Times New Roman" w:hAnsi="Times New Roman" w:eastAsia="黑体"/>
          <w:b/>
          <w:sz w:val="36"/>
          <w:szCs w:val="36"/>
        </w:rPr>
        <w:t>Project Description</w:t>
      </w:r>
    </w:p>
    <w:tbl>
      <w:tblPr>
        <w:tblStyle w:val="3"/>
        <w:tblW w:w="9999"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78"/>
        <w:gridCol w:w="1857"/>
        <w:gridCol w:w="1568"/>
        <w:gridCol w:w="1778"/>
        <w:gridCol w:w="301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1778" w:type="dxa"/>
            <w:noWrap w:val="0"/>
            <w:vAlign w:val="center"/>
          </w:tcPr>
          <w:p>
            <w:pPr>
              <w:jc w:val="center"/>
              <w:rPr>
                <w:rFonts w:ascii="Times New Roman" w:hAnsi="Times New Roman"/>
                <w:bCs/>
                <w:szCs w:val="21"/>
              </w:rPr>
            </w:pPr>
            <w:r>
              <w:rPr>
                <w:rFonts w:ascii="Times New Roman" w:hAnsi="Times New Roman"/>
                <w:szCs w:val="21"/>
              </w:rPr>
              <w:t>Full Name</w:t>
            </w:r>
            <w:r>
              <w:rPr>
                <w:rFonts w:ascii="Times New Roman" w:hAnsi="Times New Roman"/>
                <w:bCs/>
                <w:szCs w:val="21"/>
              </w:rPr>
              <w:t xml:space="preserve"> </w:t>
            </w:r>
          </w:p>
        </w:tc>
        <w:tc>
          <w:tcPr>
            <w:tcW w:w="8221" w:type="dxa"/>
            <w:gridSpan w:val="4"/>
            <w:noWrap w:val="0"/>
            <w:vAlign w:val="center"/>
          </w:tcPr>
          <w:p>
            <w:pPr>
              <w:jc w:val="center"/>
              <w:rPr>
                <w:rFonts w:ascii="Times New Roman" w:hAnsi="Times New Roman"/>
                <w:szCs w:val="21"/>
              </w:rPr>
            </w:pPr>
            <w:r>
              <w:rPr>
                <w:rFonts w:ascii="Times New Roman" w:hAnsi="Times New Roman"/>
              </w:rPr>
              <w:t>Seminar on Food Safety Inspection Technology and Management for the Belt and Road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778" w:type="dxa"/>
            <w:noWrap w:val="0"/>
            <w:vAlign w:val="center"/>
          </w:tcPr>
          <w:p>
            <w:pPr>
              <w:jc w:val="center"/>
              <w:rPr>
                <w:rFonts w:ascii="Times New Roman" w:hAnsi="Times New Roman"/>
                <w:bCs/>
                <w:szCs w:val="21"/>
              </w:rPr>
            </w:pPr>
            <w:r>
              <w:rPr>
                <w:rFonts w:ascii="Times New Roman" w:hAnsi="Times New Roman"/>
                <w:szCs w:val="21"/>
              </w:rPr>
              <w:t xml:space="preserve">Organizer </w:t>
            </w:r>
          </w:p>
        </w:tc>
        <w:tc>
          <w:tcPr>
            <w:tcW w:w="8221" w:type="dxa"/>
            <w:gridSpan w:val="4"/>
            <w:noWrap w:val="0"/>
            <w:vAlign w:val="center"/>
          </w:tcPr>
          <w:p>
            <w:pPr>
              <w:jc w:val="center"/>
              <w:rPr>
                <w:rFonts w:ascii="Times New Roman" w:hAnsi="Times New Roman"/>
                <w:szCs w:val="21"/>
              </w:rPr>
            </w:pPr>
            <w:r>
              <w:rPr>
                <w:rFonts w:ascii="Times New Roman" w:hAnsi="Times New Roman"/>
                <w:szCs w:val="21"/>
              </w:rPr>
              <w:t>China National Research Institute of Food and Fermentation Industries Corporation Limited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8" w:hRule="atLeast"/>
          <w:jc w:val="center"/>
        </w:trPr>
        <w:tc>
          <w:tcPr>
            <w:tcW w:w="1778" w:type="dxa"/>
            <w:noWrap w:val="0"/>
            <w:vAlign w:val="center"/>
          </w:tcPr>
          <w:p>
            <w:pPr>
              <w:jc w:val="center"/>
              <w:rPr>
                <w:rFonts w:ascii="Times New Roman" w:hAnsi="Times New Roman"/>
                <w:szCs w:val="21"/>
              </w:rPr>
            </w:pPr>
            <w:r>
              <w:rPr>
                <w:rFonts w:ascii="Times New Roman" w:hAnsi="Times New Roman"/>
                <w:szCs w:val="21"/>
              </w:rPr>
              <w:t>Holding Time</w:t>
            </w:r>
          </w:p>
        </w:tc>
        <w:tc>
          <w:tcPr>
            <w:tcW w:w="3425" w:type="dxa"/>
            <w:gridSpan w:val="2"/>
            <w:noWrap w:val="0"/>
            <w:vAlign w:val="center"/>
          </w:tcPr>
          <w:p>
            <w:pPr>
              <w:jc w:val="center"/>
              <w:rPr>
                <w:rFonts w:ascii="Times New Roman" w:hAnsi="Times New Roman"/>
                <w:szCs w:val="21"/>
              </w:rPr>
            </w:pPr>
            <w:r>
              <w:rPr>
                <w:rFonts w:ascii="Times New Roman" w:hAnsi="Times New Roman"/>
                <w:szCs w:val="21"/>
              </w:rPr>
              <w:t>June 23</w:t>
            </w:r>
            <w:r>
              <w:rPr>
                <w:rFonts w:ascii="Times New Roman" w:hAnsi="Times New Roman"/>
                <w:szCs w:val="21"/>
                <w:vertAlign w:val="superscript"/>
              </w:rPr>
              <w:t>rd</w:t>
            </w:r>
            <w:r>
              <w:rPr>
                <w:rFonts w:ascii="Times New Roman" w:hAnsi="Times New Roman"/>
                <w:szCs w:val="21"/>
              </w:rPr>
              <w:t xml:space="preserve"> - July 6</w:t>
            </w:r>
            <w:r>
              <w:rPr>
                <w:rFonts w:ascii="Times New Roman" w:hAnsi="Times New Roman"/>
                <w:sz w:val="24"/>
                <w:vertAlign w:val="superscript"/>
              </w:rPr>
              <w:t>th</w:t>
            </w:r>
            <w:r>
              <w:rPr>
                <w:rFonts w:ascii="Times New Roman" w:hAnsi="Times New Roman"/>
                <w:szCs w:val="21"/>
              </w:rPr>
              <w:t>, 2021</w:t>
            </w:r>
          </w:p>
        </w:tc>
        <w:tc>
          <w:tcPr>
            <w:tcW w:w="1778" w:type="dxa"/>
            <w:noWrap w:val="0"/>
            <w:vAlign w:val="center"/>
          </w:tcPr>
          <w:p>
            <w:pPr>
              <w:jc w:val="center"/>
              <w:rPr>
                <w:rFonts w:ascii="Times New Roman" w:hAnsi="Times New Roman"/>
                <w:szCs w:val="21"/>
              </w:rPr>
            </w:pPr>
            <w:r>
              <w:rPr>
                <w:rFonts w:ascii="Times New Roman" w:hAnsi="Times New Roman"/>
                <w:szCs w:val="21"/>
              </w:rPr>
              <w:t>Language</w:t>
            </w:r>
          </w:p>
        </w:tc>
        <w:tc>
          <w:tcPr>
            <w:tcW w:w="3018" w:type="dxa"/>
            <w:noWrap w:val="0"/>
            <w:vAlign w:val="center"/>
          </w:tcPr>
          <w:p>
            <w:pPr>
              <w:jc w:val="center"/>
              <w:rPr>
                <w:rFonts w:ascii="Times New Roman" w:hAnsi="Times New Roman"/>
                <w:szCs w:val="21"/>
              </w:rPr>
            </w:pPr>
            <w:r>
              <w:rPr>
                <w:rFonts w:ascii="Times New Roman" w:hAnsi="Times New Roman"/>
                <w:szCs w:val="21"/>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778" w:type="dxa"/>
            <w:noWrap w:val="0"/>
            <w:vAlign w:val="center"/>
          </w:tcPr>
          <w:p>
            <w:pPr>
              <w:pStyle w:val="2"/>
              <w:jc w:val="center"/>
              <w:rPr>
                <w:rFonts w:ascii="Times New Roman" w:hAnsi="Times New Roman"/>
                <w:szCs w:val="21"/>
              </w:rPr>
            </w:pPr>
            <w:r>
              <w:rPr>
                <w:rFonts w:ascii="Times New Roman" w:hAnsi="Times New Roman"/>
                <w:szCs w:val="21"/>
              </w:rPr>
              <w:t>Organization Form</w:t>
            </w:r>
          </w:p>
        </w:tc>
        <w:tc>
          <w:tcPr>
            <w:tcW w:w="3425" w:type="dxa"/>
            <w:gridSpan w:val="2"/>
            <w:noWrap w:val="0"/>
            <w:vAlign w:val="center"/>
          </w:tcPr>
          <w:p>
            <w:pPr>
              <w:jc w:val="center"/>
              <w:rPr>
                <w:rFonts w:ascii="Times New Roman" w:hAnsi="Times New Roman"/>
                <w:szCs w:val="21"/>
              </w:rPr>
            </w:pPr>
            <w:r>
              <w:rPr>
                <w:rFonts w:ascii="Times New Roman" w:hAnsi="Times New Roman"/>
                <w:szCs w:val="21"/>
              </w:rPr>
              <w:t>Online</w:t>
            </w:r>
          </w:p>
        </w:tc>
        <w:tc>
          <w:tcPr>
            <w:tcW w:w="1778" w:type="dxa"/>
            <w:noWrap w:val="0"/>
            <w:vAlign w:val="center"/>
          </w:tcPr>
          <w:p>
            <w:pPr>
              <w:jc w:val="center"/>
              <w:rPr>
                <w:rFonts w:ascii="Times New Roman" w:hAnsi="Times New Roman"/>
                <w:szCs w:val="21"/>
              </w:rPr>
            </w:pPr>
            <w:r>
              <w:rPr>
                <w:rFonts w:ascii="Times New Roman" w:hAnsi="Times New Roman"/>
                <w:szCs w:val="21"/>
              </w:rPr>
              <w:t>Platform</w:t>
            </w:r>
          </w:p>
        </w:tc>
        <w:tc>
          <w:tcPr>
            <w:tcW w:w="3018" w:type="dxa"/>
            <w:noWrap w:val="0"/>
            <w:vAlign w:val="center"/>
          </w:tcPr>
          <w:p>
            <w:pPr>
              <w:jc w:val="center"/>
              <w:rPr>
                <w:rFonts w:ascii="Times New Roman" w:hAnsi="Times New Roman"/>
                <w:szCs w:val="21"/>
              </w:rPr>
            </w:pPr>
            <w:r>
              <w:rPr>
                <w:rFonts w:ascii="Times New Roman" w:hAnsi="Times New Roman"/>
                <w:szCs w:val="21"/>
              </w:rPr>
              <w:t>ZOOM</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778" w:type="dxa"/>
            <w:noWrap w:val="0"/>
            <w:vAlign w:val="center"/>
          </w:tcPr>
          <w:p>
            <w:pPr>
              <w:pStyle w:val="2"/>
              <w:jc w:val="center"/>
              <w:rPr>
                <w:rFonts w:ascii="Times New Roman" w:hAnsi="Times New Roman"/>
                <w:szCs w:val="21"/>
              </w:rPr>
            </w:pPr>
            <w:r>
              <w:rPr>
                <w:rFonts w:ascii="Times New Roman" w:hAnsi="Times New Roman"/>
                <w:szCs w:val="21"/>
              </w:rPr>
              <w:t>Invited country</w:t>
            </w:r>
          </w:p>
        </w:tc>
        <w:tc>
          <w:tcPr>
            <w:tcW w:w="3425" w:type="dxa"/>
            <w:gridSpan w:val="2"/>
            <w:noWrap w:val="0"/>
            <w:vAlign w:val="center"/>
          </w:tcPr>
          <w:p>
            <w:pPr>
              <w:jc w:val="center"/>
              <w:rPr>
                <w:rFonts w:ascii="Times New Roman" w:hAnsi="Times New Roman"/>
                <w:szCs w:val="21"/>
              </w:rPr>
            </w:pPr>
            <w:r>
              <w:rPr>
                <w:rFonts w:ascii="Times New Roman" w:hAnsi="Times New Roman"/>
              </w:rPr>
              <w:t>the Belt and Road Countries</w:t>
            </w:r>
          </w:p>
        </w:tc>
        <w:tc>
          <w:tcPr>
            <w:tcW w:w="1778" w:type="dxa"/>
            <w:noWrap w:val="0"/>
            <w:vAlign w:val="center"/>
          </w:tcPr>
          <w:p>
            <w:pPr>
              <w:jc w:val="center"/>
              <w:rPr>
                <w:rFonts w:ascii="Times New Roman" w:hAnsi="Times New Roman"/>
                <w:szCs w:val="21"/>
              </w:rPr>
            </w:pPr>
            <w:r>
              <w:rPr>
                <w:rFonts w:ascii="Times New Roman" w:hAnsi="Times New Roman"/>
                <w:szCs w:val="21"/>
              </w:rPr>
              <w:t>Planned Number of Participants</w:t>
            </w:r>
          </w:p>
        </w:tc>
        <w:tc>
          <w:tcPr>
            <w:tcW w:w="3018" w:type="dxa"/>
            <w:noWrap w:val="0"/>
            <w:vAlign w:val="center"/>
          </w:tcPr>
          <w:p>
            <w:pPr>
              <w:jc w:val="center"/>
              <w:rPr>
                <w:rFonts w:ascii="Times New Roman" w:hAnsi="Times New Roman"/>
                <w:szCs w:val="21"/>
              </w:rPr>
            </w:pPr>
            <w:r>
              <w:rPr>
                <w:rFonts w:ascii="Times New Roman" w:hAnsi="Times New Roman"/>
                <w:szCs w:val="21"/>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778" w:type="dxa"/>
            <w:noWrap w:val="0"/>
            <w:vAlign w:val="center"/>
          </w:tcPr>
          <w:p>
            <w:pPr>
              <w:jc w:val="center"/>
              <w:rPr>
                <w:rFonts w:ascii="Times New Roman" w:hAnsi="Times New Roman"/>
                <w:szCs w:val="21"/>
              </w:rPr>
            </w:pPr>
            <w:r>
              <w:rPr>
                <w:rFonts w:ascii="Times New Roman" w:hAnsi="Times New Roman"/>
                <w:szCs w:val="21"/>
              </w:rPr>
              <w:t>Target</w:t>
            </w:r>
          </w:p>
        </w:tc>
        <w:tc>
          <w:tcPr>
            <w:tcW w:w="8221" w:type="dxa"/>
            <w:gridSpan w:val="4"/>
            <w:noWrap w:val="0"/>
            <w:vAlign w:val="top"/>
          </w:tcPr>
          <w:p>
            <w:pPr>
              <w:widowControl/>
              <w:numPr>
                <w:ilvl w:val="0"/>
                <w:numId w:val="1"/>
              </w:numPr>
              <w:rPr>
                <w:rFonts w:ascii="Times New Roman" w:hAnsi="Times New Roman" w:eastAsia="仿宋"/>
                <w:bCs/>
                <w:szCs w:val="21"/>
              </w:rPr>
            </w:pPr>
            <w:r>
              <w:rPr>
                <w:rFonts w:ascii="Times New Roman" w:hAnsi="Times New Roman"/>
                <w:bCs/>
                <w:szCs w:val="21"/>
              </w:rPr>
              <w:t xml:space="preserve">Giving participants a comprehensive understanding of the development and achievement in China’s food safety inspection technologies and food safety management; </w:t>
            </w:r>
          </w:p>
          <w:p>
            <w:pPr>
              <w:widowControl/>
              <w:numPr>
                <w:ilvl w:val="0"/>
                <w:numId w:val="1"/>
              </w:numPr>
              <w:rPr>
                <w:rFonts w:ascii="Times New Roman" w:hAnsi="Times New Roman" w:eastAsia="仿宋"/>
                <w:bCs/>
                <w:szCs w:val="21"/>
              </w:rPr>
            </w:pPr>
            <w:r>
              <w:rPr>
                <w:rFonts w:ascii="Times New Roman" w:hAnsi="Times New Roman"/>
                <w:bCs/>
                <w:szCs w:val="21"/>
              </w:rPr>
              <w:t>Improving their capacity of food safety inspection and management;</w:t>
            </w:r>
          </w:p>
          <w:p>
            <w:pPr>
              <w:widowControl/>
              <w:numPr>
                <w:ilvl w:val="0"/>
                <w:numId w:val="1"/>
              </w:numPr>
              <w:rPr>
                <w:rFonts w:ascii="Times New Roman" w:hAnsi="Times New Roman" w:eastAsia="仿宋"/>
                <w:bCs/>
                <w:szCs w:val="21"/>
              </w:rPr>
            </w:pPr>
            <w:r>
              <w:rPr>
                <w:rFonts w:ascii="Times New Roman" w:hAnsi="Times New Roman" w:eastAsia="仿宋"/>
                <w:bCs/>
                <w:szCs w:val="21"/>
              </w:rPr>
              <w:t>Promoting exchanges, cooperation and technical trade with</w:t>
            </w:r>
            <w:r>
              <w:rPr>
                <w:rFonts w:ascii="Times New Roman" w:hAnsi="Times New Roman"/>
              </w:rPr>
              <w:t xml:space="preserve"> the Belt and Road Countries</w:t>
            </w:r>
            <w:r>
              <w:rPr>
                <w:rFonts w:ascii="Times New Roman" w:hAnsi="Times New Roman" w:eastAsia="仿宋"/>
                <w:bCs/>
                <w:szCs w:val="21"/>
              </w:rPr>
              <w:t xml:space="preserve"> in </w:t>
            </w:r>
            <w:r>
              <w:rPr>
                <w:rFonts w:ascii="Times New Roman" w:hAnsi="Times New Roman"/>
                <w:bCs/>
                <w:szCs w:val="21"/>
              </w:rPr>
              <w:t>food safety inspection and management.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00" w:hRule="atLeast"/>
          <w:jc w:val="center"/>
        </w:trPr>
        <w:tc>
          <w:tcPr>
            <w:tcW w:w="1778" w:type="dxa"/>
            <w:vMerge w:val="restart"/>
            <w:noWrap w:val="0"/>
            <w:vAlign w:val="center"/>
          </w:tcPr>
          <w:p>
            <w:pPr>
              <w:widowControl/>
              <w:spacing w:after="150" w:line="210" w:lineRule="atLeast"/>
              <w:ind w:left="61" w:leftChars="-171" w:hanging="420" w:hangingChars="200"/>
              <w:jc w:val="center"/>
              <w:rPr>
                <w:rFonts w:ascii="Times New Roman" w:hAnsi="Times New Roman"/>
                <w:bCs/>
                <w:szCs w:val="21"/>
              </w:rPr>
            </w:pPr>
            <w:r>
              <w:rPr>
                <w:rFonts w:ascii="Times New Roman" w:hAnsi="Times New Roman"/>
                <w:bCs/>
                <w:szCs w:val="21"/>
              </w:rPr>
              <w:t xml:space="preserve">   Requirements of Participation</w:t>
            </w:r>
          </w:p>
        </w:tc>
        <w:tc>
          <w:tcPr>
            <w:tcW w:w="1857" w:type="dxa"/>
            <w:noWrap w:val="0"/>
            <w:vAlign w:val="center"/>
          </w:tcPr>
          <w:p>
            <w:pPr>
              <w:jc w:val="center"/>
              <w:rPr>
                <w:rFonts w:ascii="Times New Roman" w:hAnsi="Times New Roman"/>
                <w:szCs w:val="21"/>
              </w:rPr>
            </w:pPr>
            <w:r>
              <w:rPr>
                <w:rFonts w:ascii="Times New Roman" w:hAnsi="Times New Roman"/>
                <w:szCs w:val="21"/>
              </w:rPr>
              <w:t>Academic Background</w:t>
            </w:r>
          </w:p>
        </w:tc>
        <w:tc>
          <w:tcPr>
            <w:tcW w:w="6364" w:type="dxa"/>
            <w:gridSpan w:val="3"/>
            <w:noWrap w:val="0"/>
            <w:vAlign w:val="center"/>
          </w:tcPr>
          <w:p>
            <w:pPr>
              <w:widowControl/>
              <w:rPr>
                <w:rFonts w:ascii="Times New Roman" w:hAnsi="Times New Roman"/>
                <w:bCs/>
                <w:szCs w:val="21"/>
              </w:rPr>
            </w:pPr>
            <w:r>
              <w:rPr>
                <w:rFonts w:ascii="Times New Roman" w:hAnsi="Times New Roman"/>
                <w:bCs/>
                <w:szCs w:val="21"/>
              </w:rPr>
              <w:t>--Academic background/field of expertise: food safety inspection or food safety management</w:t>
            </w:r>
          </w:p>
          <w:p>
            <w:pPr>
              <w:widowControl/>
              <w:rPr>
                <w:rFonts w:ascii="Times New Roman" w:hAnsi="Times New Roman"/>
                <w:bCs/>
                <w:szCs w:val="21"/>
              </w:rPr>
            </w:pPr>
            <w:r>
              <w:rPr>
                <w:rFonts w:ascii="Times New Roman" w:hAnsi="Times New Roman"/>
                <w:bCs/>
                <w:szCs w:val="21"/>
              </w:rPr>
              <w:t xml:space="preserve">--Position:governmental officials and management professionals specializing in food safety inspection or food safety management in the Belt and Road Countries.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778" w:type="dxa"/>
            <w:vMerge w:val="continue"/>
            <w:noWrap w:val="0"/>
            <w:vAlign w:val="center"/>
          </w:tcPr>
          <w:p>
            <w:pPr>
              <w:widowControl/>
              <w:spacing w:after="150" w:line="210" w:lineRule="atLeast"/>
              <w:ind w:left="61" w:leftChars="-171" w:hanging="420" w:hangingChars="200"/>
              <w:jc w:val="center"/>
              <w:rPr>
                <w:rFonts w:ascii="Times New Roman" w:hAnsi="Times New Roman"/>
                <w:bCs/>
                <w:szCs w:val="21"/>
              </w:rPr>
            </w:pPr>
          </w:p>
        </w:tc>
        <w:tc>
          <w:tcPr>
            <w:tcW w:w="1857" w:type="dxa"/>
            <w:noWrap w:val="0"/>
            <w:vAlign w:val="center"/>
          </w:tcPr>
          <w:p>
            <w:pPr>
              <w:jc w:val="center"/>
              <w:rPr>
                <w:rFonts w:ascii="Times New Roman" w:hAnsi="Times New Roman"/>
                <w:szCs w:val="21"/>
              </w:rPr>
            </w:pPr>
            <w:r>
              <w:rPr>
                <w:rFonts w:ascii="Times New Roman" w:hAnsi="Times New Roman"/>
                <w:szCs w:val="21"/>
              </w:rPr>
              <w:t>Age</w:t>
            </w:r>
          </w:p>
        </w:tc>
        <w:tc>
          <w:tcPr>
            <w:tcW w:w="6364" w:type="dxa"/>
            <w:gridSpan w:val="3"/>
            <w:noWrap w:val="0"/>
            <w:vAlign w:val="center"/>
          </w:tcPr>
          <w:p>
            <w:pPr>
              <w:jc w:val="left"/>
              <w:rPr>
                <w:rFonts w:ascii="Times New Roman" w:hAnsi="Times New Roman"/>
                <w:bCs/>
                <w:szCs w:val="21"/>
              </w:rPr>
            </w:pPr>
            <w:r>
              <w:rPr>
                <w:rFonts w:ascii="Times New Roman" w:hAnsi="Times New Roman"/>
              </w:rPr>
              <w:t>No higher than the legal retirement age in the country</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1778" w:type="dxa"/>
            <w:vMerge w:val="continue"/>
            <w:noWrap w:val="0"/>
            <w:vAlign w:val="center"/>
          </w:tcPr>
          <w:p>
            <w:pPr>
              <w:widowControl/>
              <w:spacing w:after="150" w:line="210" w:lineRule="atLeast"/>
              <w:ind w:left="61" w:leftChars="-171" w:hanging="420" w:hangingChars="200"/>
              <w:jc w:val="center"/>
              <w:rPr>
                <w:rFonts w:ascii="Times New Roman" w:hAnsi="Times New Roman"/>
                <w:bCs/>
                <w:szCs w:val="21"/>
              </w:rPr>
            </w:pPr>
          </w:p>
        </w:tc>
        <w:tc>
          <w:tcPr>
            <w:tcW w:w="1857" w:type="dxa"/>
            <w:noWrap w:val="0"/>
            <w:vAlign w:val="center"/>
          </w:tcPr>
          <w:p>
            <w:pPr>
              <w:jc w:val="center"/>
              <w:rPr>
                <w:rFonts w:ascii="Times New Roman" w:hAnsi="Times New Roman"/>
                <w:szCs w:val="21"/>
              </w:rPr>
            </w:pPr>
            <w:r>
              <w:rPr>
                <w:rFonts w:ascii="Times New Roman" w:hAnsi="Times New Roman"/>
                <w:szCs w:val="21"/>
              </w:rPr>
              <w:t>Physical Health</w:t>
            </w:r>
          </w:p>
        </w:tc>
        <w:tc>
          <w:tcPr>
            <w:tcW w:w="6364" w:type="dxa"/>
            <w:gridSpan w:val="3"/>
            <w:noWrap w:val="0"/>
            <w:vAlign w:val="center"/>
          </w:tcPr>
          <w:p>
            <w:pPr>
              <w:ind w:left="1050" w:hanging="1050" w:hangingChars="500"/>
              <w:jc w:val="left"/>
              <w:rPr>
                <w:rFonts w:ascii="Times New Roman" w:hAnsi="Times New Roman"/>
                <w:bCs/>
                <w:szCs w:val="21"/>
              </w:rPr>
            </w:pPr>
            <w:r>
              <w:rPr>
                <w:rFonts w:ascii="Times New Roman" w:hAnsi="Times New Roman"/>
                <w:szCs w:val="21"/>
              </w:rPr>
              <w:t>Ability to attend online training courses on time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1778" w:type="dxa"/>
            <w:vMerge w:val="continue"/>
            <w:noWrap w:val="0"/>
            <w:vAlign w:val="center"/>
          </w:tcPr>
          <w:p>
            <w:pPr>
              <w:widowControl/>
              <w:spacing w:after="150" w:line="210" w:lineRule="atLeast"/>
              <w:ind w:left="61" w:leftChars="-171" w:hanging="420" w:hangingChars="200"/>
              <w:jc w:val="center"/>
              <w:rPr>
                <w:rFonts w:ascii="Times New Roman" w:hAnsi="Times New Roman"/>
                <w:bCs/>
                <w:szCs w:val="21"/>
              </w:rPr>
            </w:pPr>
          </w:p>
        </w:tc>
        <w:tc>
          <w:tcPr>
            <w:tcW w:w="1857" w:type="dxa"/>
            <w:noWrap w:val="0"/>
            <w:vAlign w:val="center"/>
          </w:tcPr>
          <w:p>
            <w:pPr>
              <w:jc w:val="center"/>
              <w:rPr>
                <w:rFonts w:ascii="Times New Roman" w:hAnsi="Times New Roman"/>
                <w:szCs w:val="21"/>
              </w:rPr>
            </w:pPr>
            <w:r>
              <w:rPr>
                <w:rFonts w:ascii="Times New Roman" w:hAnsi="Times New Roman"/>
                <w:szCs w:val="21"/>
              </w:rPr>
              <w:t>Language Ability</w:t>
            </w:r>
          </w:p>
        </w:tc>
        <w:tc>
          <w:tcPr>
            <w:tcW w:w="6364" w:type="dxa"/>
            <w:gridSpan w:val="3"/>
            <w:noWrap w:val="0"/>
            <w:vAlign w:val="center"/>
          </w:tcPr>
          <w:p>
            <w:pPr>
              <w:ind w:left="34" w:hanging="33" w:hangingChars="16"/>
              <w:jc w:val="left"/>
              <w:rPr>
                <w:rFonts w:ascii="Times New Roman" w:hAnsi="Times New Roman"/>
                <w:bCs/>
                <w:szCs w:val="21"/>
              </w:rPr>
            </w:pPr>
            <w:r>
              <w:rPr>
                <w:rFonts w:ascii="Times New Roman" w:hAnsi="Times New Roman"/>
                <w:szCs w:val="21"/>
              </w:rPr>
              <w:t>Fluency in listening, speaking, reading, and writing in 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778" w:type="dxa"/>
            <w:vMerge w:val="continue"/>
            <w:noWrap w:val="0"/>
            <w:vAlign w:val="center"/>
          </w:tcPr>
          <w:p>
            <w:pPr>
              <w:widowControl/>
              <w:spacing w:after="150" w:line="210" w:lineRule="atLeast"/>
              <w:ind w:left="61" w:leftChars="-171" w:hanging="420" w:hangingChars="200"/>
              <w:jc w:val="center"/>
              <w:rPr>
                <w:rFonts w:ascii="Times New Roman" w:hAnsi="Times New Roman"/>
                <w:bCs/>
                <w:szCs w:val="21"/>
              </w:rPr>
            </w:pPr>
          </w:p>
        </w:tc>
        <w:tc>
          <w:tcPr>
            <w:tcW w:w="1857" w:type="dxa"/>
            <w:noWrap w:val="0"/>
            <w:vAlign w:val="center"/>
          </w:tcPr>
          <w:p>
            <w:pPr>
              <w:jc w:val="center"/>
              <w:rPr>
                <w:rFonts w:ascii="Times New Roman" w:hAnsi="Times New Roman"/>
                <w:szCs w:val="21"/>
              </w:rPr>
            </w:pPr>
            <w:r>
              <w:rPr>
                <w:rFonts w:ascii="Times New Roman" w:hAnsi="Times New Roman"/>
                <w:szCs w:val="21"/>
              </w:rPr>
              <w:t>Others</w:t>
            </w:r>
          </w:p>
        </w:tc>
        <w:tc>
          <w:tcPr>
            <w:tcW w:w="6364" w:type="dxa"/>
            <w:gridSpan w:val="3"/>
            <w:noWrap w:val="0"/>
            <w:vAlign w:val="center"/>
          </w:tcPr>
          <w:p>
            <w:pPr>
              <w:ind w:left="1050" w:hanging="1050" w:hangingChars="500"/>
              <w:jc w:val="left"/>
              <w:rPr>
                <w:rFonts w:ascii="Times New Roman" w:hAnsi="Times New Roman"/>
                <w:bCs/>
                <w:szCs w:val="21"/>
              </w:rPr>
            </w:pPr>
            <w:r>
              <w:rPr>
                <w:rFonts w:ascii="Times New Roman" w:hAnsi="Times New Roman"/>
                <w:szCs w:val="21"/>
              </w:rPr>
              <w:t>Able to use the ZOOM platform to complete the project schedule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778" w:type="dxa"/>
            <w:noWrap w:val="0"/>
            <w:vAlign w:val="center"/>
          </w:tcPr>
          <w:p>
            <w:pPr>
              <w:jc w:val="center"/>
              <w:rPr>
                <w:rFonts w:ascii="Times New Roman" w:hAnsi="Times New Roman"/>
                <w:bCs/>
                <w:szCs w:val="21"/>
              </w:rPr>
            </w:pPr>
            <w:r>
              <w:rPr>
                <w:rFonts w:ascii="Times New Roman" w:hAnsi="Times New Roman"/>
                <w:szCs w:val="22"/>
              </w:rPr>
              <w:t>Training Contents</w:t>
            </w:r>
          </w:p>
        </w:tc>
        <w:tc>
          <w:tcPr>
            <w:tcW w:w="8221" w:type="dxa"/>
            <w:gridSpan w:val="4"/>
            <w:noWrap w:val="0"/>
            <w:vAlign w:val="center"/>
          </w:tcPr>
          <w:p>
            <w:pPr>
              <w:pStyle w:val="2"/>
              <w:rPr>
                <w:rFonts w:ascii="Times New Roman" w:hAnsi="Times New Roman"/>
                <w:szCs w:val="22"/>
              </w:rPr>
            </w:pPr>
            <w:r>
              <w:rPr>
                <w:rFonts w:ascii="Times New Roman" w:hAnsi="Times New Roman"/>
                <w:szCs w:val="22"/>
              </w:rPr>
              <w:t>1. Main Contents of Lectures</w:t>
            </w:r>
          </w:p>
          <w:p>
            <w:pPr>
              <w:pStyle w:val="2"/>
              <w:jc w:val="both"/>
              <w:rPr>
                <w:rFonts w:ascii="Times New Roman" w:hAnsi="Times New Roman"/>
                <w:szCs w:val="22"/>
              </w:rPr>
            </w:pPr>
            <w:r>
              <w:rPr>
                <w:rFonts w:ascii="Times New Roman" w:hAnsi="Times New Roman"/>
                <w:szCs w:val="22"/>
              </w:rPr>
              <w:t>(1) An overview of China and China’s experience in combatting infectious diseases: an overview of China’s current development in politics, economy, society and culture as well as the measures and current status of China’s fight against infectious diseases;</w:t>
            </w:r>
          </w:p>
          <w:p>
            <w:pPr>
              <w:pStyle w:val="2"/>
              <w:jc w:val="both"/>
              <w:rPr>
                <w:rFonts w:ascii="Times New Roman" w:hAnsi="Times New Roman"/>
                <w:szCs w:val="22"/>
              </w:rPr>
            </w:pPr>
            <w:r>
              <w:rPr>
                <w:rFonts w:ascii="Times New Roman" w:hAnsi="Times New Roman"/>
                <w:szCs w:val="22"/>
              </w:rPr>
              <w:t>(2) Food safety legal framework in China: the current food safety legislation, legal system construction and key learnings in this process;</w:t>
            </w:r>
          </w:p>
          <w:p>
            <w:pPr>
              <w:pStyle w:val="2"/>
              <w:jc w:val="both"/>
              <w:rPr>
                <w:rFonts w:ascii="Times New Roman" w:hAnsi="Times New Roman"/>
                <w:szCs w:val="22"/>
              </w:rPr>
            </w:pPr>
            <w:r>
              <w:rPr>
                <w:rFonts w:ascii="Times New Roman" w:hAnsi="Times New Roman"/>
                <w:szCs w:val="22"/>
              </w:rPr>
              <w:t xml:space="preserve">(3) Food safety regulation and analysis in China: the current situation, challenges and countermeasures in food safety regulation in China; </w:t>
            </w:r>
          </w:p>
          <w:p>
            <w:pPr>
              <w:pStyle w:val="2"/>
              <w:jc w:val="both"/>
              <w:rPr>
                <w:rFonts w:ascii="Times New Roman" w:hAnsi="Times New Roman"/>
                <w:szCs w:val="22"/>
              </w:rPr>
            </w:pPr>
            <w:r>
              <w:rPr>
                <w:rFonts w:ascii="Times New Roman" w:hAnsi="Times New Roman"/>
                <w:szCs w:val="22"/>
              </w:rPr>
              <w:t xml:space="preserve">(4) Food safety standard system in China: an overview of food safety standard in China, including national standards, local standards, industry standards, etc. </w:t>
            </w:r>
          </w:p>
          <w:p>
            <w:pPr>
              <w:pStyle w:val="2"/>
              <w:jc w:val="both"/>
              <w:rPr>
                <w:rFonts w:ascii="Times New Roman" w:hAnsi="Times New Roman"/>
                <w:szCs w:val="22"/>
              </w:rPr>
            </w:pPr>
            <w:r>
              <w:rPr>
                <w:rFonts w:ascii="Times New Roman" w:hAnsi="Times New Roman"/>
                <w:szCs w:val="22"/>
              </w:rPr>
              <w:t>(5) Food safety management risk monitoring system in China: the hierarchical food safety risk inspection system and its construction;</w:t>
            </w:r>
          </w:p>
          <w:p>
            <w:pPr>
              <w:pStyle w:val="2"/>
              <w:jc w:val="both"/>
              <w:rPr>
                <w:rFonts w:ascii="Times New Roman" w:hAnsi="Times New Roman"/>
                <w:szCs w:val="22"/>
              </w:rPr>
            </w:pPr>
            <w:r>
              <w:rPr>
                <w:rFonts w:ascii="Times New Roman" w:hAnsi="Times New Roman"/>
                <w:szCs w:val="22"/>
              </w:rPr>
              <w:t>(6) Organic contamination in foods and detection: organic contaminants in food and technologies &amp; methods of detection;</w:t>
            </w:r>
          </w:p>
          <w:p>
            <w:pPr>
              <w:pStyle w:val="2"/>
              <w:jc w:val="both"/>
              <w:rPr>
                <w:rFonts w:ascii="Times New Roman" w:hAnsi="Times New Roman"/>
                <w:szCs w:val="22"/>
              </w:rPr>
            </w:pPr>
            <w:r>
              <w:rPr>
                <w:rFonts w:ascii="Times New Roman" w:hAnsi="Times New Roman"/>
                <w:szCs w:val="22"/>
              </w:rPr>
              <w:t xml:space="preserve">(7) GMO technology and GMO food safety inspection: introduction of GMO technology and its application, methods and technical means of GMO food safety inspection. </w:t>
            </w:r>
          </w:p>
          <w:p>
            <w:pPr>
              <w:pStyle w:val="2"/>
              <w:rPr>
                <w:rFonts w:ascii="Times New Roman" w:hAnsi="Times New Roman"/>
                <w:szCs w:val="22"/>
              </w:rPr>
            </w:pPr>
          </w:p>
          <w:p>
            <w:pPr>
              <w:rPr>
                <w:rFonts w:hint="default" w:ascii="Times New Roman" w:hAnsi="Times New Roman" w:eastAsia="宋体"/>
                <w:szCs w:val="22"/>
                <w:highlight w:val="none"/>
                <w:lang w:val="en-US" w:eastAsia="zh-CN"/>
              </w:rPr>
            </w:pPr>
            <w:r>
              <w:rPr>
                <w:rFonts w:ascii="Times New Roman" w:hAnsi="Times New Roman"/>
                <w:szCs w:val="22"/>
              </w:rPr>
              <w:t>2.</w:t>
            </w:r>
            <w:r>
              <w:rPr>
                <w:rFonts w:hint="eastAsia" w:ascii="Times New Roman" w:hAnsi="Times New Roman"/>
                <w:szCs w:val="22"/>
              </w:rPr>
              <w:t>Laboratory Cloud Visit</w:t>
            </w:r>
            <w:r>
              <w:rPr>
                <w:rFonts w:hint="eastAsia" w:ascii="Times New Roman" w:hAnsi="Times New Roman"/>
                <w:szCs w:val="22"/>
                <w:lang w:val="en-US" w:eastAsia="zh-CN"/>
              </w:rPr>
              <w:t xml:space="preserve"> and experiment demonstration</w:t>
            </w:r>
          </w:p>
          <w:p>
            <w:pPr>
              <w:pStyle w:val="2"/>
              <w:jc w:val="both"/>
              <w:rPr>
                <w:rFonts w:ascii="Times New Roman" w:hAnsi="Times New Roman"/>
                <w:szCs w:val="22"/>
              </w:rPr>
            </w:pPr>
            <w:r>
              <w:rPr>
                <w:rFonts w:ascii="Times New Roman" w:hAnsi="Times New Roman"/>
                <w:szCs w:val="22"/>
              </w:rPr>
              <w:t>(1) Detection of chemical pesticide residues in food: introduction of common chemical pesticides and their residues in food, on-site demonstration of detection technologies and methods of common chemical pesticide residues;</w:t>
            </w:r>
          </w:p>
          <w:p>
            <w:pPr>
              <w:pStyle w:val="2"/>
              <w:jc w:val="both"/>
              <w:rPr>
                <w:rFonts w:ascii="Times New Roman" w:hAnsi="Times New Roman"/>
                <w:szCs w:val="22"/>
              </w:rPr>
            </w:pPr>
            <w:r>
              <w:rPr>
                <w:rFonts w:ascii="Times New Roman" w:hAnsi="Times New Roman"/>
                <w:szCs w:val="22"/>
              </w:rPr>
              <w:t>(2) Detection of veterinary drug residues in food: introduction of common veterinary drugs and their residues in food, on-site demonstration of detection technologies and methods of common veterinary drug residues;</w:t>
            </w:r>
          </w:p>
          <w:p>
            <w:pPr>
              <w:pStyle w:val="2"/>
              <w:jc w:val="both"/>
              <w:rPr>
                <w:rFonts w:ascii="Times New Roman" w:hAnsi="Times New Roman"/>
                <w:szCs w:val="22"/>
              </w:rPr>
            </w:pPr>
            <w:r>
              <w:rPr>
                <w:rFonts w:ascii="Times New Roman" w:hAnsi="Times New Roman"/>
                <w:szCs w:val="22"/>
              </w:rPr>
              <w:t>(3) Detection of harmful microorganisms in food: introduction of common strains of harmful microorganisms in food, on-site demonstration of detection technologies and methods of various strains of harmful microorganisms;</w:t>
            </w:r>
          </w:p>
          <w:p>
            <w:pPr>
              <w:pStyle w:val="2"/>
              <w:jc w:val="both"/>
              <w:rPr>
                <w:rFonts w:ascii="Times New Roman" w:hAnsi="Times New Roman"/>
                <w:szCs w:val="22"/>
              </w:rPr>
            </w:pPr>
            <w:r>
              <w:rPr>
                <w:rFonts w:ascii="Times New Roman" w:hAnsi="Times New Roman"/>
                <w:szCs w:val="22"/>
              </w:rPr>
              <w:t xml:space="preserve">(4) Demonstration of rapid detection in food safety: introduction of rapid detection technologies in food safety, demonstration of rapid detection of veterinary drug residue in meat product and melamine in milk. </w:t>
            </w:r>
            <w:bookmarkStart w:id="0" w:name="_GoBack"/>
            <w:bookmarkEnd w:id="0"/>
          </w:p>
          <w:p>
            <w:pPr>
              <w:pStyle w:val="2"/>
              <w:rPr>
                <w:rFonts w:ascii="Times New Roman" w:hAnsi="Times New Roman"/>
                <w:szCs w:val="22"/>
              </w:rPr>
            </w:pPr>
          </w:p>
          <w:p>
            <w:pPr>
              <w:pStyle w:val="2"/>
              <w:jc w:val="both"/>
              <w:rPr>
                <w:rFonts w:hint="eastAsia" w:ascii="Times New Roman" w:hAnsi="Times New Roman"/>
                <w:szCs w:val="22"/>
                <w:highlight w:val="none"/>
              </w:rPr>
            </w:pPr>
            <w:r>
              <w:rPr>
                <w:rFonts w:ascii="Times New Roman" w:hAnsi="Times New Roman"/>
                <w:szCs w:val="22"/>
                <w:highlight w:val="none"/>
              </w:rPr>
              <w:t>3.</w:t>
            </w:r>
            <w:r>
              <w:rPr>
                <w:rFonts w:ascii="Times New Roman" w:hAnsi="Times New Roman"/>
                <w:highlight w:val="none"/>
              </w:rPr>
              <w:t xml:space="preserve"> </w:t>
            </w:r>
            <w:r>
              <w:rPr>
                <w:rFonts w:hint="eastAsia" w:ascii="Times New Roman" w:hAnsi="Times New Roman"/>
                <w:szCs w:val="22"/>
                <w:highlight w:val="none"/>
              </w:rPr>
              <w:t xml:space="preserve"> </w:t>
            </w:r>
            <w:r>
              <w:rPr>
                <w:rFonts w:hint="eastAsia" w:ascii="Times New Roman" w:hAnsi="Times New Roman"/>
                <w:szCs w:val="22"/>
                <w:highlight w:val="none"/>
                <w:lang w:val="en-US" w:eastAsia="zh-CN"/>
              </w:rPr>
              <w:t>D</w:t>
            </w:r>
            <w:r>
              <w:rPr>
                <w:rFonts w:hint="eastAsia" w:ascii="Times New Roman" w:hAnsi="Times New Roman"/>
                <w:szCs w:val="22"/>
                <w:highlight w:val="none"/>
              </w:rPr>
              <w:t>iscussion</w:t>
            </w:r>
            <w:r>
              <w:rPr>
                <w:rFonts w:hint="eastAsia" w:ascii="Times New Roman" w:hAnsi="Times New Roman"/>
                <w:szCs w:val="22"/>
                <w:highlight w:val="none"/>
                <w:lang w:val="en-US" w:eastAsia="zh-CN"/>
              </w:rPr>
              <w:t>and communication</w:t>
            </w:r>
            <w:r>
              <w:rPr>
                <w:rFonts w:hint="eastAsia" w:ascii="Times New Roman" w:hAnsi="Times New Roman"/>
                <w:szCs w:val="22"/>
                <w:highlight w:val="none"/>
              </w:rPr>
              <w:t xml:space="preserve"> </w:t>
            </w:r>
          </w:p>
          <w:p>
            <w:pPr>
              <w:pStyle w:val="2"/>
              <w:jc w:val="both"/>
              <w:rPr>
                <w:rFonts w:hint="eastAsia" w:ascii="Times New Roman" w:hAnsi="Times New Roman" w:eastAsia="宋体"/>
                <w:szCs w:val="22"/>
                <w:highlight w:val="none"/>
                <w:lang w:val="en-US" w:eastAsia="zh-CN"/>
              </w:rPr>
            </w:pPr>
            <w:r>
              <w:rPr>
                <w:rFonts w:hint="eastAsia" w:ascii="Times New Roman" w:hAnsi="Times New Roman"/>
                <w:szCs w:val="22"/>
                <w:highlight w:val="none"/>
              </w:rPr>
              <w:t>During the seminar, renowned experts and scholars as well as representatives of food enterprises will interact with participants on food safety inspection technologies, food safety management models, laws, regulations and standards through online discussion sessions</w:t>
            </w:r>
            <w:r>
              <w:rPr>
                <w:rFonts w:hint="eastAsia" w:ascii="Times New Roman" w:hAnsi="Times New Roman"/>
                <w:szCs w:val="22"/>
                <w:highlight w:val="none"/>
                <w:lang w:val="en-US" w:eastAsia="zh-CN"/>
              </w:rPr>
              <w:t>.</w:t>
            </w:r>
          </w:p>
          <w:p>
            <w:pPr>
              <w:pStyle w:val="2"/>
              <w:rPr>
                <w:rFonts w:ascii="Times New Roman" w:hAnsi="Times New Roman"/>
                <w:szCs w:val="22"/>
              </w:rPr>
            </w:pPr>
          </w:p>
          <w:p>
            <w:pPr>
              <w:pStyle w:val="2"/>
              <w:jc w:val="both"/>
              <w:rPr>
                <w:rFonts w:ascii="Times New Roman" w:hAnsi="Times New Roman"/>
                <w:szCs w:val="22"/>
              </w:rPr>
            </w:pPr>
            <w:r>
              <w:rPr>
                <w:rFonts w:ascii="Times New Roman" w:hAnsi="Times New Roman"/>
                <w:szCs w:val="22"/>
              </w:rPr>
              <w:t>4. Speaker Profile</w:t>
            </w:r>
          </w:p>
          <w:p>
            <w:pPr>
              <w:pStyle w:val="2"/>
              <w:jc w:val="both"/>
              <w:rPr>
                <w:rFonts w:ascii="Times New Roman" w:hAnsi="Times New Roman"/>
                <w:szCs w:val="22"/>
              </w:rPr>
            </w:pPr>
            <w:r>
              <w:rPr>
                <w:rFonts w:ascii="Times New Roman" w:hAnsi="Times New Roman"/>
                <w:szCs w:val="22"/>
              </w:rPr>
              <w:t>(1) BI Yu’an, Inspector, Department of Food Production Safety Supervision and Management, State Administration for Market Regulation, former Deputy Director, Division of Laws and Regulations, Department of Laws and Regulations, State Bureau of Quality Supervision, former Director, 1</w:t>
            </w:r>
            <w:r>
              <w:rPr>
                <w:rFonts w:ascii="Times New Roman" w:hAnsi="Times New Roman"/>
                <w:szCs w:val="22"/>
                <w:vertAlign w:val="superscript"/>
              </w:rPr>
              <w:t>st</w:t>
            </w:r>
            <w:r>
              <w:rPr>
                <w:rFonts w:ascii="Times New Roman" w:hAnsi="Times New Roman"/>
                <w:szCs w:val="22"/>
              </w:rPr>
              <w:t xml:space="preserve"> Division of Laws and Regulations, Department of Laws and Regulations, General Administration of Quality Supervision, Inspection and Quarantine (AQSIQ), former Director, Division of Market Access, Department of Food Supervision, AQSIQ, former Deputy Inspector, Department of Food Supervision, AQSIQ, etc. </w:t>
            </w:r>
          </w:p>
          <w:p>
            <w:pPr>
              <w:pStyle w:val="2"/>
              <w:tabs>
                <w:tab w:val="left" w:pos="312"/>
              </w:tabs>
              <w:jc w:val="both"/>
              <w:rPr>
                <w:rFonts w:ascii="Times New Roman" w:hAnsi="Times New Roman"/>
                <w:szCs w:val="21"/>
              </w:rPr>
            </w:pPr>
            <w:r>
              <w:rPr>
                <w:rFonts w:ascii="Times New Roman" w:hAnsi="Times New Roman"/>
                <w:szCs w:val="22"/>
              </w:rPr>
              <w:t>(2) GUO Xinguang, Professor-level senior engineer, supervisor for Master degree candidates, member of National Food Safety Standard Review Committee, Member of National Technical Committee on Sensory Analysis of Standardization Administration of China, Member of Technical Sub-committee on Industrial Fermentation, National Technical Committee on</w:t>
            </w:r>
            <w:r>
              <w:rPr>
                <w:rFonts w:ascii="Times New Roman" w:hAnsi="Times New Roman"/>
                <w:szCs w:val="21"/>
              </w:rPr>
              <w:t xml:space="preserve"> Food Industry of Standardization Administration of China, etc. Experienced in basic research in standardization as well as standard formulation in food, alcoholic drinks and fermentation industries. </w:t>
            </w:r>
          </w:p>
          <w:p>
            <w:pPr>
              <w:pStyle w:val="2"/>
              <w:tabs>
                <w:tab w:val="left" w:pos="312"/>
              </w:tabs>
              <w:jc w:val="both"/>
              <w:rPr>
                <w:rFonts w:ascii="Times New Roman" w:hAnsi="Times New Roman"/>
                <w:szCs w:val="21"/>
              </w:rPr>
            </w:pPr>
            <w:r>
              <w:rPr>
                <w:rFonts w:ascii="Times New Roman" w:hAnsi="Times New Roman"/>
                <w:szCs w:val="21"/>
              </w:rPr>
              <w:t>(3) SHENG Jiping, PhD, Professor at China Renmin University, Organic Food Inspector of China and EU, GMO Food Inspector of US and EU, EUREPGAP Inspector of China, Member of China Green Food Expert Committee.</w:t>
            </w:r>
          </w:p>
          <w:p>
            <w:pPr>
              <w:pStyle w:val="2"/>
              <w:tabs>
                <w:tab w:val="left" w:pos="312"/>
              </w:tabs>
              <w:jc w:val="both"/>
              <w:rPr>
                <w:rFonts w:ascii="Times New Roman" w:hAnsi="Times New Roman"/>
                <w:szCs w:val="21"/>
              </w:rPr>
            </w:pPr>
            <w:r>
              <w:rPr>
                <w:rFonts w:ascii="Times New Roman" w:hAnsi="Times New Roman"/>
                <w:szCs w:val="21"/>
              </w:rPr>
              <w:t>(4) WANG Peiyu, Professor, supervisor for PhD candidates, Vice President, School of Public Health, Peking University.</w:t>
            </w:r>
          </w:p>
          <w:p>
            <w:pPr>
              <w:pStyle w:val="2"/>
              <w:tabs>
                <w:tab w:val="left" w:pos="312"/>
              </w:tabs>
              <w:jc w:val="both"/>
              <w:rPr>
                <w:rFonts w:ascii="Times New Roman" w:hAnsi="Times New Roman"/>
                <w:szCs w:val="21"/>
              </w:rPr>
            </w:pPr>
            <w:r>
              <w:rPr>
                <w:rFonts w:ascii="Times New Roman" w:hAnsi="Times New Roman"/>
                <w:szCs w:val="21"/>
              </w:rPr>
              <w:t xml:space="preserve">(5) KE Runhui, PhD, professor-level senior engineer. His fields of research mainly include: analysis and test, hazard analysis and risk assessment of hazardous factors in food (such as chemical pesticide residues, veterinary drug residues, non-edible additives, TFAs, etc.). </w:t>
            </w:r>
          </w:p>
          <w:p>
            <w:pPr>
              <w:pStyle w:val="2"/>
              <w:tabs>
                <w:tab w:val="left" w:pos="312"/>
              </w:tabs>
              <w:jc w:val="both"/>
              <w:rPr>
                <w:rFonts w:ascii="Times New Roman" w:hAnsi="Times New Roman"/>
                <w:szCs w:val="21"/>
              </w:rPr>
            </w:pPr>
          </w:p>
          <w:p>
            <w:pPr>
              <w:pStyle w:val="2"/>
              <w:jc w:val="both"/>
              <w:rPr>
                <w:rFonts w:ascii="Times New Roman" w:hAnsi="Times New Roman"/>
                <w:szCs w:val="22"/>
              </w:rPr>
            </w:pPr>
            <w:r>
              <w:rPr>
                <w:rFonts w:ascii="Times New Roman" w:hAnsi="Times New Roman"/>
                <w:szCs w:val="22"/>
              </w:rPr>
              <w:t>5.Materials that participants need to prepare</w:t>
            </w:r>
          </w:p>
          <w:p>
            <w:pPr>
              <w:pStyle w:val="2"/>
              <w:ind w:firstLine="420" w:firstLineChars="200"/>
              <w:jc w:val="both"/>
              <w:rPr>
                <w:rFonts w:ascii="Times New Roman" w:hAnsi="Times New Roman"/>
                <w:szCs w:val="22"/>
              </w:rPr>
            </w:pPr>
            <w:r>
              <w:rPr>
                <w:rFonts w:ascii="Times New Roman" w:hAnsi="Times New Roman"/>
                <w:szCs w:val="22"/>
              </w:rPr>
              <w:t>In order to facilitate communication with Chinese experts, please prepare communication materials related to the subjects of the seminar, such as:(1) Introduction of the profession and organization or department;(2)</w:t>
            </w:r>
            <w:r>
              <w:rPr>
                <w:rFonts w:ascii="Times New Roman" w:hAnsi="Times New Roman"/>
              </w:rPr>
              <w:t xml:space="preserve"> Food safety inspection technology and management</w:t>
            </w:r>
            <w:r>
              <w:rPr>
                <w:rFonts w:ascii="Times New Roman" w:hAnsi="Times New Roman"/>
                <w:szCs w:val="22"/>
              </w:rPr>
              <w:t xml:space="preserve"> status and existing problems;(3) The current cooperation with other countries and international organizations in your country.</w:t>
            </w:r>
          </w:p>
          <w:p>
            <w:pPr>
              <w:pStyle w:val="2"/>
              <w:ind w:firstLine="420" w:firstLineChars="200"/>
              <w:jc w:val="both"/>
              <w:rPr>
                <w:rFonts w:ascii="Times New Roman" w:hAnsi="Times New Roman"/>
                <w:szCs w:val="22"/>
              </w:rPr>
            </w:pPr>
          </w:p>
          <w:p>
            <w:pPr>
              <w:pStyle w:val="2"/>
              <w:jc w:val="both"/>
              <w:rPr>
                <w:rFonts w:ascii="Times New Roman" w:hAnsi="Times New Roman"/>
                <w:szCs w:val="22"/>
              </w:rPr>
            </w:pPr>
            <w:r>
              <w:rPr>
                <w:rFonts w:ascii="Times New Roman" w:hAnsi="Times New Roman"/>
                <w:szCs w:val="22"/>
              </w:rPr>
              <w:t>6.Evaluation at the end of training</w:t>
            </w:r>
          </w:p>
          <w:p>
            <w:pPr>
              <w:pStyle w:val="2"/>
              <w:ind w:firstLine="420" w:firstLineChars="200"/>
              <w:jc w:val="both"/>
              <w:rPr>
                <w:rFonts w:ascii="Times New Roman" w:hAnsi="Times New Roman"/>
                <w:kern w:val="0"/>
                <w:szCs w:val="21"/>
              </w:rPr>
            </w:pPr>
            <w:r>
              <w:rPr>
                <w:rFonts w:ascii="Times New Roman" w:hAnsi="Times New Roman"/>
                <w:szCs w:val="22"/>
              </w:rPr>
              <w:t>Evaluation forms shall be distributed to and collected from participants to evaluate the entire seminar, including all courses delivered.</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96" w:hRule="atLeast"/>
          <w:jc w:val="center"/>
        </w:trPr>
        <w:tc>
          <w:tcPr>
            <w:tcW w:w="1778" w:type="dxa"/>
            <w:noWrap w:val="0"/>
            <w:vAlign w:val="center"/>
          </w:tcPr>
          <w:p>
            <w:pPr>
              <w:jc w:val="center"/>
              <w:rPr>
                <w:rFonts w:ascii="Times New Roman" w:hAnsi="Times New Roman"/>
                <w:bCs/>
                <w:szCs w:val="21"/>
              </w:rPr>
            </w:pPr>
            <w:r>
              <w:rPr>
                <w:rFonts w:ascii="Times New Roman" w:hAnsi="Times New Roman"/>
                <w:szCs w:val="21"/>
              </w:rPr>
              <w:t>Host City</w:t>
            </w:r>
          </w:p>
        </w:tc>
        <w:tc>
          <w:tcPr>
            <w:tcW w:w="3425" w:type="dxa"/>
            <w:gridSpan w:val="2"/>
            <w:tcBorders>
              <w:right w:val="single" w:color="auto" w:sz="4" w:space="0"/>
            </w:tcBorders>
            <w:noWrap w:val="0"/>
            <w:vAlign w:val="center"/>
          </w:tcPr>
          <w:p>
            <w:pPr>
              <w:jc w:val="center"/>
              <w:rPr>
                <w:rFonts w:ascii="Times New Roman" w:hAnsi="Times New Roman"/>
                <w:bCs/>
                <w:szCs w:val="21"/>
                <w:lang w:val="fr-CA"/>
              </w:rPr>
            </w:pPr>
            <w:r>
              <w:rPr>
                <w:rFonts w:ascii="Times New Roman" w:hAnsi="Times New Roman"/>
                <w:bCs/>
                <w:szCs w:val="21"/>
              </w:rPr>
              <w:t>Beijing</w:t>
            </w:r>
          </w:p>
        </w:tc>
        <w:tc>
          <w:tcPr>
            <w:tcW w:w="1778" w:type="dxa"/>
            <w:tcBorders>
              <w:left w:val="single" w:color="auto" w:sz="4" w:space="0"/>
              <w:right w:val="single" w:color="auto" w:sz="4" w:space="0"/>
            </w:tcBorders>
            <w:noWrap w:val="0"/>
            <w:vAlign w:val="center"/>
          </w:tcPr>
          <w:p>
            <w:pPr>
              <w:jc w:val="center"/>
              <w:rPr>
                <w:rFonts w:ascii="Times New Roman" w:hAnsi="Times New Roman"/>
                <w:bCs/>
                <w:szCs w:val="21"/>
                <w:lang w:val="fr-CA"/>
              </w:rPr>
            </w:pPr>
            <w:r>
              <w:rPr>
                <w:rFonts w:ascii="Times New Roman" w:hAnsi="Times New Roman"/>
                <w:szCs w:val="21"/>
              </w:rPr>
              <w:t>Cities to Visit</w:t>
            </w:r>
          </w:p>
        </w:tc>
        <w:tc>
          <w:tcPr>
            <w:tcW w:w="3018" w:type="dxa"/>
            <w:tcBorders>
              <w:left w:val="single" w:color="auto" w:sz="4" w:space="0"/>
            </w:tcBorders>
            <w:noWrap w:val="0"/>
            <w:vAlign w:val="center"/>
          </w:tcPr>
          <w:p>
            <w:pPr>
              <w:jc w:val="center"/>
              <w:rPr>
                <w:rFonts w:ascii="Times New Roman" w:hAnsi="Times New Roman"/>
                <w:bCs/>
                <w:szCs w:val="21"/>
                <w:lang w:val="fr-CA"/>
              </w:rPr>
            </w:pPr>
            <w:r>
              <w:rPr>
                <w:rFonts w:ascii="Times New Roman" w:hAnsi="Times New Roman"/>
                <w:bCs/>
                <w:szCs w:val="21"/>
              </w:rPr>
              <w:t>Beijing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778" w:type="dxa"/>
            <w:noWrap w:val="0"/>
            <w:vAlign w:val="center"/>
          </w:tcPr>
          <w:p>
            <w:pPr>
              <w:jc w:val="center"/>
              <w:rPr>
                <w:rFonts w:ascii="Times New Roman" w:hAnsi="Times New Roman"/>
                <w:szCs w:val="21"/>
              </w:rPr>
            </w:pPr>
            <w:r>
              <w:rPr>
                <w:rFonts w:ascii="Times New Roman" w:hAnsi="Times New Roman"/>
                <w:szCs w:val="21"/>
              </w:rPr>
              <w:t>Notes</w:t>
            </w:r>
          </w:p>
        </w:tc>
        <w:tc>
          <w:tcPr>
            <w:tcW w:w="8221" w:type="dxa"/>
            <w:gridSpan w:val="4"/>
            <w:noWrap w:val="0"/>
            <w:vAlign w:val="center"/>
          </w:tcPr>
          <w:p>
            <w:pPr>
              <w:numPr>
                <w:ilvl w:val="0"/>
                <w:numId w:val="2"/>
              </w:numPr>
              <w:rPr>
                <w:rFonts w:ascii="Times New Roman" w:hAnsi="Times New Roman"/>
                <w:bCs/>
                <w:szCs w:val="21"/>
              </w:rPr>
            </w:pPr>
            <w:r>
              <w:rPr>
                <w:rFonts w:ascii="Times New Roman" w:hAnsi="Times New Roman"/>
                <w:bCs/>
                <w:szCs w:val="21"/>
              </w:rPr>
              <w:t>This seminar uses the ZOOM platform for online training.</w:t>
            </w:r>
          </w:p>
          <w:p>
            <w:pPr>
              <w:numPr>
                <w:ilvl w:val="0"/>
                <w:numId w:val="2"/>
              </w:numPr>
              <w:rPr>
                <w:rFonts w:ascii="Times New Roman" w:hAnsi="Times New Roman"/>
                <w:bCs/>
                <w:szCs w:val="21"/>
              </w:rPr>
            </w:pPr>
            <w:r>
              <w:rPr>
                <w:rFonts w:ascii="Times New Roman" w:hAnsi="Times New Roman"/>
                <w:bCs/>
                <w:szCs w:val="21"/>
              </w:rPr>
              <w:t>During the training, participants are invited to observe training sessions time, attendance records will serve as the basis for issuing a certificate of completion of training.</w:t>
            </w:r>
          </w:p>
          <w:p>
            <w:pPr>
              <w:numPr>
                <w:ilvl w:val="0"/>
                <w:numId w:val="2"/>
              </w:numPr>
              <w:rPr>
                <w:rFonts w:ascii="Times New Roman" w:hAnsi="Times New Roman"/>
                <w:bCs/>
                <w:szCs w:val="21"/>
              </w:rPr>
            </w:pPr>
            <w:r>
              <w:rPr>
                <w:rFonts w:ascii="Times New Roman" w:hAnsi="Times New Roman"/>
                <w:bCs/>
                <w:szCs w:val="21"/>
              </w:rPr>
              <w:t>Preparation before training: Enter the ZOOM classroom 15 minutes in advance.</w:t>
            </w:r>
            <w:r>
              <w:rPr>
                <w:rFonts w:ascii="Times New Roman" w:hAnsi="Times New Roman"/>
              </w:rPr>
              <w:t xml:space="preserve"> </w:t>
            </w:r>
            <w:r>
              <w:rPr>
                <w:rFonts w:ascii="Times New Roman" w:hAnsi="Times New Roman"/>
                <w:bCs/>
                <w:szCs w:val="21"/>
              </w:rPr>
              <w:t>Change personal title to First name/Last name-Country style, such as Isabelle Adjani-France.</w:t>
            </w:r>
          </w:p>
          <w:p>
            <w:pPr>
              <w:numPr>
                <w:ilvl w:val="0"/>
                <w:numId w:val="2"/>
              </w:numPr>
              <w:ind w:left="420" w:hanging="420" w:hangingChars="200"/>
              <w:rPr>
                <w:rFonts w:ascii="Times New Roman" w:hAnsi="Times New Roman"/>
                <w:bCs/>
                <w:szCs w:val="21"/>
              </w:rPr>
            </w:pPr>
            <w:r>
              <w:rPr>
                <w:rFonts w:ascii="Times New Roman" w:hAnsi="Times New Roman"/>
                <w:bCs/>
                <w:szCs w:val="21"/>
              </w:rPr>
              <w:t>Disciplinary requirements: Please strictly abide by the training course schedule.</w:t>
            </w:r>
          </w:p>
          <w:p>
            <w:pPr>
              <w:numPr>
                <w:ilvl w:val="0"/>
                <w:numId w:val="2"/>
              </w:numPr>
              <w:rPr>
                <w:rFonts w:ascii="Times New Roman" w:hAnsi="Times New Roman"/>
                <w:bCs/>
                <w:szCs w:val="21"/>
              </w:rPr>
            </w:pPr>
            <w:r>
              <w:rPr>
                <w:rFonts w:ascii="Times New Roman" w:hAnsi="Times New Roman"/>
                <w:bCs/>
                <w:szCs w:val="21"/>
              </w:rPr>
              <w:t>Participants are required to prepare relevant materials for the seminar according to the schedule, and submit relevant electronic materials as required.</w:t>
            </w:r>
          </w:p>
          <w:p>
            <w:pPr>
              <w:numPr>
                <w:ilvl w:val="0"/>
                <w:numId w:val="2"/>
              </w:numPr>
              <w:rPr>
                <w:rFonts w:hint="eastAsia" w:ascii="Times New Roman" w:hAnsi="Times New Roman"/>
                <w:bCs/>
                <w:szCs w:val="21"/>
              </w:rPr>
            </w:pPr>
            <w:r>
              <w:rPr>
                <w:rFonts w:ascii="Times New Roman" w:hAnsi="Times New Roman"/>
                <w:bCs/>
                <w:szCs w:val="21"/>
              </w:rPr>
              <w:t>Courses are equipped with professional English translation.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310" w:hRule="atLeast"/>
          <w:jc w:val="center"/>
        </w:trPr>
        <w:tc>
          <w:tcPr>
            <w:tcW w:w="1778" w:type="dxa"/>
            <w:noWrap w:val="0"/>
            <w:vAlign w:val="center"/>
          </w:tcPr>
          <w:p>
            <w:pPr>
              <w:jc w:val="center"/>
              <w:rPr>
                <w:rFonts w:ascii="Times New Roman" w:hAnsi="Times New Roman"/>
                <w:bCs/>
                <w:szCs w:val="21"/>
              </w:rPr>
            </w:pPr>
            <w:r>
              <w:rPr>
                <w:rFonts w:ascii="Times New Roman" w:hAnsi="Times New Roman"/>
                <w:szCs w:val="21"/>
              </w:rPr>
              <w:t xml:space="preserve">About the Organizer </w:t>
            </w:r>
          </w:p>
        </w:tc>
        <w:tc>
          <w:tcPr>
            <w:tcW w:w="8221" w:type="dxa"/>
            <w:gridSpan w:val="4"/>
            <w:noWrap w:val="0"/>
            <w:vAlign w:val="top"/>
          </w:tcPr>
          <w:p>
            <w:pPr>
              <w:ind w:firstLine="420" w:firstLineChars="200"/>
              <w:rPr>
                <w:rFonts w:ascii="Times New Roman" w:hAnsi="Times New Roman"/>
                <w:szCs w:val="21"/>
              </w:rPr>
            </w:pPr>
            <w:r>
              <w:rPr>
                <w:rFonts w:ascii="Times New Roman" w:hAnsi="Times New Roman"/>
                <w:szCs w:val="21"/>
              </w:rPr>
              <w:t xml:space="preserve">Established in 1955 and wholly owned by Sino-light Corporation under China Poly Group which is ranking on global 500 list, China National Research Institute of Food and Fermentation Industries Corporation Limited (hereinafter referred to as CNRIFFI) is the largest and oldest state-level research institution in China’s food industry as well as the most important technical platform in food industry and founder of multiple food sectors. Building on its strong technical capacity, CNRIFFI has retained authority in R&amp;D of new food products and technologies, standards formulation, quality inspection, etc. </w:t>
            </w:r>
          </w:p>
          <w:p>
            <w:pPr>
              <w:ind w:firstLine="420" w:firstLineChars="200"/>
              <w:rPr>
                <w:rFonts w:ascii="Times New Roman" w:hAnsi="Times New Roman"/>
                <w:szCs w:val="21"/>
              </w:rPr>
            </w:pPr>
            <w:r>
              <w:rPr>
                <w:rFonts w:ascii="Times New Roman" w:hAnsi="Times New Roman"/>
                <w:szCs w:val="21"/>
              </w:rPr>
              <w:t xml:space="preserve">Since 2005, sponsored by Chinese government, CNRIFFI has organized 179 seminars and technical trainings and received 6200 participants from 134 developing countries and regions. The above-mentioned training programs cover a wide range of subjects in food sector: food safety inspection and management, biotechnology application in food industry, agricultural products processing, food processing and preservation technology, fruit processing and comprehensive utilization, grain processing and inspection technology, alcohol distribution management and promotion, etc. </w:t>
            </w:r>
          </w:p>
          <w:p>
            <w:pPr>
              <w:ind w:firstLine="420" w:firstLineChars="200"/>
              <w:rPr>
                <w:rFonts w:ascii="Times New Roman" w:hAnsi="Times New Roman"/>
                <w:szCs w:val="21"/>
              </w:rPr>
            </w:pPr>
            <w:r>
              <w:rPr>
                <w:rFonts w:ascii="Times New Roman" w:hAnsi="Times New Roman"/>
                <w:szCs w:val="21"/>
              </w:rPr>
              <w:t xml:space="preserve">CNRIFFI has been organizing training programs on food safety inspection since 2006 and seminars on food safety management since 2008. Up to now, 32 training programs on food safety inspection technologies and 41 seminars on food safety management have been organized by CNRIFFI with positive comments and recognition of various stakeholders. Throughout the years, we have been actively reviewing the successful experience and are open to suggestions from participants, which allows us to conscientiously study, prepare, improve and update our training methods, syllabus, pool of experts and on-site training/visits, achieving standardization and normalization of every item on our agenda with the utmost attention to details.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4" w:hRule="atLeast"/>
          <w:jc w:val="center"/>
        </w:trPr>
        <w:tc>
          <w:tcPr>
            <w:tcW w:w="1778" w:type="dxa"/>
            <w:noWrap w:val="0"/>
            <w:vAlign w:val="center"/>
          </w:tcPr>
          <w:p>
            <w:pPr>
              <w:jc w:val="center"/>
              <w:rPr>
                <w:rFonts w:ascii="Times New Roman" w:hAnsi="Times New Roman"/>
                <w:bCs/>
                <w:szCs w:val="21"/>
              </w:rPr>
            </w:pPr>
            <w:r>
              <w:rPr>
                <w:rFonts w:ascii="Times New Roman" w:hAnsi="Times New Roman"/>
                <w:b/>
                <w:bCs/>
                <w:szCs w:val="21"/>
              </w:rPr>
              <w:t>Contact of the Organizer</w:t>
            </w:r>
          </w:p>
        </w:tc>
        <w:tc>
          <w:tcPr>
            <w:tcW w:w="8221" w:type="dxa"/>
            <w:gridSpan w:val="4"/>
            <w:noWrap w:val="0"/>
            <w:vAlign w:val="top"/>
          </w:tcPr>
          <w:p>
            <w:pPr>
              <w:jc w:val="left"/>
              <w:rPr>
                <w:rFonts w:ascii="Times New Roman" w:hAnsi="Times New Roman"/>
                <w:szCs w:val="21"/>
              </w:rPr>
            </w:pPr>
            <w:r>
              <w:rPr>
                <w:rFonts w:ascii="Times New Roman" w:hAnsi="Times New Roman"/>
                <w:b/>
                <w:bCs/>
                <w:szCs w:val="21"/>
              </w:rPr>
              <w:t>Contract Person(s)：</w:t>
            </w:r>
            <w:r>
              <w:rPr>
                <w:rFonts w:ascii="Times New Roman" w:hAnsi="Times New Roman"/>
                <w:szCs w:val="21"/>
              </w:rPr>
              <w:t>Mr. PENG Hao</w:t>
            </w:r>
          </w:p>
          <w:p>
            <w:pPr>
              <w:jc w:val="left"/>
              <w:rPr>
                <w:rFonts w:ascii="Times New Roman" w:hAnsi="Times New Roman"/>
                <w:bCs/>
                <w:szCs w:val="21"/>
              </w:rPr>
            </w:pPr>
            <w:r>
              <w:rPr>
                <w:rFonts w:ascii="Times New Roman" w:hAnsi="Times New Roman"/>
                <w:b/>
                <w:bCs/>
                <w:szCs w:val="21"/>
              </w:rPr>
              <w:t xml:space="preserve">Office Number: </w:t>
            </w:r>
            <w:r>
              <w:rPr>
                <w:rFonts w:ascii="Times New Roman" w:hAnsi="Times New Roman"/>
                <w:szCs w:val="21"/>
              </w:rPr>
              <w:t>0086-10-53218352</w:t>
            </w:r>
            <w:r>
              <w:rPr>
                <w:rFonts w:ascii="Times New Roman" w:hAnsi="Times New Roman"/>
                <w:bCs/>
                <w:szCs w:val="21"/>
              </w:rPr>
              <w:t xml:space="preserve"> </w:t>
            </w:r>
          </w:p>
          <w:p>
            <w:pPr>
              <w:jc w:val="left"/>
              <w:rPr>
                <w:rFonts w:ascii="Times New Roman" w:hAnsi="Times New Roman"/>
                <w:szCs w:val="21"/>
              </w:rPr>
            </w:pPr>
            <w:r>
              <w:rPr>
                <w:rFonts w:ascii="Times New Roman" w:hAnsi="Times New Roman"/>
                <w:b/>
                <w:bCs/>
                <w:szCs w:val="21"/>
              </w:rPr>
              <w:t>Telephone：</w:t>
            </w:r>
            <w:r>
              <w:rPr>
                <w:rFonts w:ascii="Times New Roman" w:hAnsi="Times New Roman"/>
                <w:szCs w:val="21"/>
              </w:rPr>
              <w:t xml:space="preserve">0086-15811250200 </w:t>
            </w:r>
          </w:p>
          <w:p>
            <w:pPr>
              <w:jc w:val="left"/>
              <w:rPr>
                <w:rFonts w:ascii="Times New Roman" w:hAnsi="Times New Roman"/>
                <w:szCs w:val="21"/>
              </w:rPr>
            </w:pPr>
            <w:r>
              <w:rPr>
                <w:rFonts w:ascii="Times New Roman" w:hAnsi="Times New Roman"/>
                <w:b/>
                <w:bCs/>
                <w:szCs w:val="21"/>
              </w:rPr>
              <w:t>Fax:</w:t>
            </w:r>
            <w:r>
              <w:rPr>
                <w:rFonts w:ascii="Times New Roman" w:hAnsi="Times New Roman"/>
                <w:bCs/>
                <w:szCs w:val="21"/>
              </w:rPr>
              <w:t xml:space="preserve"> </w:t>
            </w:r>
            <w:r>
              <w:rPr>
                <w:rFonts w:ascii="Times New Roman" w:hAnsi="Times New Roman"/>
                <w:szCs w:val="21"/>
              </w:rPr>
              <w:t>0086-10-53218357</w:t>
            </w:r>
          </w:p>
          <w:p>
            <w:pPr>
              <w:jc w:val="left"/>
              <w:rPr>
                <w:rFonts w:ascii="Times New Roman" w:hAnsi="Times New Roman"/>
                <w:szCs w:val="21"/>
              </w:rPr>
            </w:pPr>
            <w:r>
              <w:rPr>
                <w:rFonts w:ascii="Times New Roman" w:hAnsi="Times New Roman"/>
                <w:b/>
                <w:bCs/>
                <w:szCs w:val="21"/>
                <w:lang w:val="fr-CA"/>
              </w:rPr>
              <w:t>WeChat：</w:t>
            </w:r>
            <w:r>
              <w:rPr>
                <w:rFonts w:ascii="Times New Roman" w:hAnsi="Times New Roman"/>
                <w:szCs w:val="21"/>
                <w:lang w:val="pt-PT"/>
              </w:rPr>
              <w:t>15811250200</w:t>
            </w:r>
          </w:p>
          <w:p>
            <w:pPr>
              <w:jc w:val="left"/>
              <w:rPr>
                <w:rFonts w:ascii="Times New Roman" w:hAnsi="Times New Roman"/>
                <w:szCs w:val="21"/>
              </w:rPr>
            </w:pPr>
            <w:r>
              <w:rPr>
                <w:rFonts w:ascii="Times New Roman" w:hAnsi="Times New Roman"/>
                <w:b/>
                <w:bCs/>
                <w:szCs w:val="21"/>
                <w:lang w:val="fr-CA"/>
              </w:rPr>
              <w:t>E-mai</w:t>
            </w:r>
            <w:r>
              <w:rPr>
                <w:rFonts w:ascii="Times New Roman" w:hAnsi="Times New Roman"/>
                <w:szCs w:val="21"/>
                <w:lang w:val="fr-CA"/>
              </w:rPr>
              <w:t xml:space="preserve">l : </w:t>
            </w:r>
            <w:r>
              <w:rPr>
                <w:rFonts w:ascii="Times New Roman" w:hAnsi="Times New Roman"/>
                <w:szCs w:val="21"/>
              </w:rPr>
              <w:fldChar w:fldCharType="begin"/>
            </w:r>
            <w:r>
              <w:rPr>
                <w:rFonts w:ascii="Times New Roman" w:hAnsi="Times New Roman"/>
                <w:szCs w:val="21"/>
              </w:rPr>
              <w:instrText xml:space="preserve"> HYPERLINK "mailto:biotechonfood@126.com" </w:instrText>
            </w:r>
            <w:r>
              <w:rPr>
                <w:rFonts w:ascii="Times New Roman" w:hAnsi="Times New Roman"/>
                <w:szCs w:val="21"/>
              </w:rPr>
              <w:fldChar w:fldCharType="separate"/>
            </w:r>
            <w:r>
              <w:rPr>
                <w:rFonts w:ascii="Times New Roman" w:hAnsi="Times New Roman"/>
                <w:szCs w:val="21"/>
                <w:lang w:val="pt-PT"/>
              </w:rPr>
              <w:t>biotechonfood@126.com</w:t>
            </w:r>
            <w:r>
              <w:rPr>
                <w:rFonts w:ascii="Times New Roman" w:hAnsi="Times New Roman"/>
                <w:szCs w:val="21"/>
                <w:lang w:val="pt-PT"/>
              </w:rPr>
              <w:fldChar w:fldCharType="end"/>
            </w:r>
          </w:p>
        </w:tc>
      </w:tr>
    </w:tbl>
    <w:p>
      <w:pPr>
        <w:widowControl/>
        <w:spacing w:line="420" w:lineRule="exact"/>
        <w:jc w:val="center"/>
        <w:rPr>
          <w:rFonts w:ascii="Times New Roman" w:hAnsi="Times New Roman"/>
          <w:b/>
          <w:bCs/>
          <w:szCs w:val="21"/>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D151B9"/>
    <w:multiLevelType w:val="multilevel"/>
    <w:tmpl w:val="39D151B9"/>
    <w:lvl w:ilvl="0" w:tentative="0">
      <w:start w:val="1"/>
      <w:numFmt w:val="decimal"/>
      <w:lvlText w:val="%1."/>
      <w:lvlJc w:val="left"/>
      <w:pPr>
        <w:ind w:left="360" w:hanging="360"/>
      </w:pPr>
      <w:rPr>
        <w:rFonts w:hint="default"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2F658C5"/>
    <w:multiLevelType w:val="singleLevel"/>
    <w:tmpl w:val="62F658C5"/>
    <w:lvl w:ilvl="0" w:tentative="0">
      <w:start w:val="1"/>
      <w:numFmt w:val="decimal"/>
      <w:lvlText w:val="%1."/>
      <w:lvlJc w:val="left"/>
      <w:pPr>
        <w:tabs>
          <w:tab w:val="left" w:pos="312"/>
        </w:tabs>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6254A"/>
    <w:rsid w:val="6FE6254A"/>
    <w:rsid w:val="746B7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2021-04-22T03:10:00Z</dcterms:created>
  <dc:creator>Fan GAO</dc:creator>
  <cp:lastModifiedBy>Fan GAO</cp:lastModifiedBy>
  <dcterms:modified xsi:type="dcterms:W3CDTF">2021-04-22T03:15:47Z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11373AE64FA8476F88B403905EA1E475</vt:lpwstr>
  </property>
</Properties>
</file>